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6" w:rsidRDefault="005F3796" w:rsidP="005F3796">
      <w:bookmarkStart w:id="0" w:name="_GoBack"/>
      <w:proofErr w:type="spellStart"/>
      <w:r>
        <w:t>Moción</w:t>
      </w:r>
      <w:proofErr w:type="spellEnd"/>
      <w:r>
        <w:t xml:space="preserve"> que presenta el </w:t>
      </w:r>
      <w:proofErr w:type="spellStart"/>
      <w:r>
        <w:t>grupo</w:t>
      </w:r>
      <w:proofErr w:type="spellEnd"/>
      <w:r>
        <w:t xml:space="preserve"> municipal </w:t>
      </w:r>
      <w:proofErr w:type="spellStart"/>
      <w:r>
        <w:t>C's</w:t>
      </w:r>
      <w:proofErr w:type="spellEnd"/>
      <w:r>
        <w:t xml:space="preserve"> para impulsar un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</w:t>
      </w:r>
      <w:bookmarkEnd w:id="0"/>
      <w:r>
        <w:t xml:space="preserve">contra la </w:t>
      </w:r>
      <w:proofErr w:type="spellStart"/>
      <w:r>
        <w:t>transfobia</w:t>
      </w:r>
      <w:proofErr w:type="spellEnd"/>
      <w:r>
        <w:t xml:space="preserve"> y el </w:t>
      </w:r>
      <w:proofErr w:type="spellStart"/>
      <w:r>
        <w:t>acoso</w:t>
      </w:r>
      <w:proofErr w:type="spellEnd"/>
      <w:r>
        <w:t xml:space="preserve"> escolar por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>.</w:t>
      </w:r>
    </w:p>
    <w:p w:rsidR="005F3796" w:rsidRDefault="005F3796" w:rsidP="005F3796">
      <w:pPr>
        <w:spacing w:line="360" w:lineRule="auto"/>
        <w:rPr>
          <w:rFonts w:ascii="Avenir LT Std 35 Light" w:hAnsi="Avenir LT Std 35 Light" w:cs="Arial"/>
          <w:b/>
          <w:bCs/>
          <w:sz w:val="20"/>
          <w:szCs w:val="20"/>
        </w:rPr>
      </w:pPr>
    </w:p>
    <w:p w:rsidR="005F3796" w:rsidRDefault="005F3796" w:rsidP="005F3796">
      <w:pPr>
        <w:spacing w:line="360" w:lineRule="auto"/>
        <w:rPr>
          <w:rFonts w:ascii="Avenir LT Std 35 Light" w:hAnsi="Avenir LT Std 35 Light" w:cs="Arial"/>
          <w:sz w:val="20"/>
          <w:szCs w:val="20"/>
        </w:rPr>
      </w:pPr>
      <w:bookmarkStart w:id="1" w:name="PRP_C1AA53536F3A4F56BD0B206F6AA6FBA7"/>
      <w:r>
        <w:rPr>
          <w:rFonts w:ascii="Avenir LT Std 35 Light" w:hAnsi="Avenir LT Std 35 Light" w:cs="Arial"/>
          <w:b/>
          <w:bCs/>
          <w:sz w:val="20"/>
          <w:szCs w:val="20"/>
        </w:rPr>
        <w:t>EXPOSICIÓN DE MOTIVOS:</w:t>
      </w:r>
    </w:p>
    <w:p w:rsidR="005F3796" w:rsidRDefault="005F3796" w:rsidP="005F3796">
      <w:pPr>
        <w:spacing w:line="360" w:lineRule="auto"/>
        <w:jc w:val="both"/>
        <w:rPr>
          <w:rFonts w:ascii="Avenir LT Std 35 Light" w:hAnsi="Avenir LT Std 35 Light" w:cs="Arial"/>
          <w:sz w:val="20"/>
          <w:szCs w:val="20"/>
        </w:rPr>
      </w:pPr>
      <w:r>
        <w:rPr>
          <w:rFonts w:ascii="Avenir LT Std 35 Light" w:hAnsi="Avenir LT Std 35 Light" w:cs="Arial"/>
          <w:sz w:val="20"/>
          <w:szCs w:val="20"/>
        </w:rPr>
        <w:t xml:space="preserve">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día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27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mayo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2010 se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aprobó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el Parlament de Catalunya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14/2010 de los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derechos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oportunidades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infancia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adolescencia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El 2 de octubre de 2014 el Parlament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aprobó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11/2014 para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garantizar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los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derechos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lesbianas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gays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bisexuales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transgéneros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intersexuales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para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erradicar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homofobia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bifobia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transfobia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día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22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julio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2015 se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aprobó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Congreso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Diputados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8/2015 para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protección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infancia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a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adolescencia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Esta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junto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Convención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derechos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niños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Naciones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Unidas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reconoce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que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todo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menor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tiene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derecho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que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su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interés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superior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sea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valorado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y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considerado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todas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las acciones y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decisiones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que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conciernan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Dicha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Convención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expone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además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que se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tenga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cuenta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preservación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identidad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cultura,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religión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convicciones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orientación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identidad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sexual, en definitiva,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libre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desarrollo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personalidad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Éste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último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punto es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recogido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también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artículo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10 de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Constitución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Española.</w:t>
      </w:r>
    </w:p>
    <w:p w:rsidR="005F3796" w:rsidRDefault="005F3796" w:rsidP="005F3796">
      <w:pPr>
        <w:spacing w:line="360" w:lineRule="auto"/>
        <w:jc w:val="both"/>
        <w:rPr>
          <w:rFonts w:ascii="Avenir LT Std 35 Light" w:hAnsi="Avenir LT Std 35 Light" w:cs="Arial"/>
          <w:sz w:val="20"/>
          <w:szCs w:val="20"/>
        </w:rPr>
      </w:pPr>
      <w:proofErr w:type="spellStart"/>
      <w:r>
        <w:rPr>
          <w:rFonts w:ascii="Avenir LT Std 35 Light" w:hAnsi="Avenir LT Std 35 Light" w:cs="Arial"/>
          <w:sz w:val="20"/>
          <w:szCs w:val="20"/>
        </w:rPr>
        <w:t>Estas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tres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intentan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responder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las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necesidades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un sector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importante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población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Al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aprobarlas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mayoría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grupos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parlamentarios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llegaron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un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acuerdo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para poder dar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solución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las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necesidades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que en gran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parte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estas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recogen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Y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decimos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intentan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porque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fecha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hoy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tanto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14/2010 como la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ley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11/2014,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ambas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autonómicas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carecen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disposiciones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reglamentarias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para poder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hacerlas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efectivas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. Como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consecuencia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esta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dejadez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tenemos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que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asistir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episodios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acoso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escolar como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ocurrido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pasado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24 de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diciembre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donde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Alan, menor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transexual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tras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el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acoso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continuado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sufrido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en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varios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centros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educativos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donde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estudió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acabó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sz w:val="20"/>
          <w:szCs w:val="20"/>
        </w:rPr>
        <w:t>quitándose</w:t>
      </w:r>
      <w:proofErr w:type="spellEnd"/>
      <w:r>
        <w:rPr>
          <w:rFonts w:ascii="Avenir LT Std 35 Light" w:hAnsi="Avenir LT Std 35 Light" w:cs="Arial"/>
          <w:sz w:val="20"/>
          <w:szCs w:val="20"/>
        </w:rPr>
        <w:t xml:space="preserve"> la vida.</w:t>
      </w:r>
    </w:p>
    <w:p w:rsidR="005F3796" w:rsidRDefault="005F3796" w:rsidP="005F3796">
      <w:pPr>
        <w:spacing w:line="360" w:lineRule="auto"/>
        <w:jc w:val="both"/>
        <w:rPr>
          <w:rFonts w:ascii="Avenir LT Std 35 Light" w:hAnsi="Avenir LT Std 35 Light" w:cs="Arial"/>
          <w:color w:val="000000"/>
          <w:sz w:val="20"/>
          <w:szCs w:val="20"/>
        </w:rPr>
      </w:pPr>
      <w:r>
        <w:rPr>
          <w:rFonts w:ascii="Avenir LT Std 35 Light" w:hAnsi="Avenir LT Std 35 Light" w:cs="Arial"/>
          <w:color w:val="000000"/>
          <w:sz w:val="20"/>
          <w:szCs w:val="20"/>
        </w:rPr>
        <w:t xml:space="preserve">Es por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eso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, por la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voluntad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acelerar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implementación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soluciones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ante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estos casos, por lo que Ciutadans presenta el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borrador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un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protocolo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que intenta facilitar la labor que en este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sentido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consideramos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deben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realizar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tanto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la Regidoria d’Ensenyament y el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área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Polítiques d’Igualtat de la Regidoria de Serveis a la Ciutadania, como el Departament d’Ensenyament. Un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protocolo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queremos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dejar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abierto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entidades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centros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educativos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, AMPAS,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partidos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políticos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y a la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ciudadanía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en general.</w:t>
      </w:r>
    </w:p>
    <w:p w:rsidR="005F3796" w:rsidRDefault="005F3796" w:rsidP="005F3796">
      <w:pPr>
        <w:spacing w:line="360" w:lineRule="auto"/>
        <w:rPr>
          <w:rStyle w:val="Textoennegrita"/>
          <w:b w:val="0"/>
          <w:bCs w:val="0"/>
        </w:rPr>
      </w:pPr>
      <w:r>
        <w:rPr>
          <w:rFonts w:ascii="Avenir LT Std 35 Light" w:hAnsi="Avenir LT Std 35 Light" w:cs="Arial"/>
          <w:b/>
          <w:bCs/>
          <w:sz w:val="20"/>
          <w:szCs w:val="20"/>
        </w:rPr>
        <w:t xml:space="preserve">El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Pleno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Ayuntamiento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, con 13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votos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 a favor (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grupos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municipales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: PSC; A-VX+; IMM; Grup mixt; CIU i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C’s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) y 3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abstenciones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grupos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municipales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 xml:space="preserve">: ERC i FIC) </w:t>
      </w:r>
      <w:proofErr w:type="spellStart"/>
      <w:r>
        <w:rPr>
          <w:rFonts w:ascii="Avenir LT Std 35 Light" w:hAnsi="Avenir LT Std 35 Light" w:cs="Arial"/>
          <w:b/>
          <w:bCs/>
          <w:sz w:val="20"/>
          <w:szCs w:val="20"/>
        </w:rPr>
        <w:t>acuerdan</w:t>
      </w:r>
      <w:proofErr w:type="spellEnd"/>
      <w:r>
        <w:rPr>
          <w:rFonts w:ascii="Avenir LT Std 35 Light" w:hAnsi="Avenir LT Std 35 Light" w:cs="Arial"/>
          <w:b/>
          <w:bCs/>
          <w:sz w:val="20"/>
          <w:szCs w:val="20"/>
        </w:rPr>
        <w:t>:</w:t>
      </w:r>
    </w:p>
    <w:p w:rsidR="005F3796" w:rsidRDefault="005F3796" w:rsidP="005F3796">
      <w:pPr>
        <w:spacing w:line="360" w:lineRule="auto"/>
        <w:jc w:val="both"/>
        <w:rPr>
          <w:color w:val="000000"/>
        </w:rPr>
      </w:pPr>
      <w:proofErr w:type="spellStart"/>
      <w:r>
        <w:rPr>
          <w:rStyle w:val="Textoennegrita"/>
          <w:rFonts w:ascii="Avenir LT Std 35 Light" w:hAnsi="Avenir LT Std 35 Light" w:cs="Arial"/>
          <w:sz w:val="20"/>
          <w:szCs w:val="20"/>
        </w:rPr>
        <w:t>Primero</w:t>
      </w:r>
      <w:proofErr w:type="spellEnd"/>
      <w:r>
        <w:rPr>
          <w:rStyle w:val="Textoennegrita"/>
          <w:rFonts w:ascii="Avenir LT Std 35 Light" w:hAnsi="Avenir LT Std 35 Light" w:cs="Arial"/>
          <w:sz w:val="20"/>
          <w:szCs w:val="20"/>
        </w:rPr>
        <w:t>.</w:t>
      </w:r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Instar al Departament d’Ensenyament de la Generalitat de Catalunya a que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desarrolle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un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protocolo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específico</w:t>
      </w:r>
      <w:proofErr w:type="spellEnd"/>
      <w:r>
        <w:rPr>
          <w:rStyle w:val="Textoennegrita"/>
          <w:rFonts w:ascii="Avenir LT Std 35 Light" w:hAnsi="Avenir LT Std 35 Light" w:cs="Arial"/>
          <w:sz w:val="20"/>
          <w:szCs w:val="20"/>
        </w:rPr>
        <w:t xml:space="preserve"> </w:t>
      </w:r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en el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ámbito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educativo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sobre el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acoso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escolar por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orientación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sexual o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identidad</w:t>
      </w:r>
      <w:proofErr w:type="spellEnd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 xml:space="preserve"> de </w:t>
      </w:r>
      <w:proofErr w:type="spellStart"/>
      <w:r>
        <w:rPr>
          <w:rStyle w:val="Textoennegrita"/>
          <w:rFonts w:ascii="Avenir LT Std 35 Light" w:hAnsi="Avenir LT Std 35 Light" w:cs="Arial"/>
          <w:b w:val="0"/>
          <w:bCs w:val="0"/>
          <w:sz w:val="20"/>
          <w:szCs w:val="20"/>
        </w:rPr>
        <w:t>género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>.</w:t>
      </w:r>
    </w:p>
    <w:p w:rsidR="005F3796" w:rsidRDefault="005F3796" w:rsidP="005F3796">
      <w:pPr>
        <w:spacing w:line="360" w:lineRule="auto"/>
        <w:jc w:val="both"/>
        <w:rPr>
          <w:rFonts w:ascii="Avenir LT Std 35 Light" w:hAnsi="Avenir LT Std 35 Light" w:cs="Arial"/>
          <w:b/>
          <w:bCs/>
          <w:color w:val="000000"/>
          <w:sz w:val="20"/>
          <w:szCs w:val="20"/>
        </w:rPr>
      </w:pPr>
      <w:proofErr w:type="spellStart"/>
      <w:r>
        <w:rPr>
          <w:rFonts w:ascii="Avenir LT Std 35 Light" w:hAnsi="Avenir LT Std 35 Light" w:cs="Arial"/>
          <w:b/>
          <w:bCs/>
          <w:color w:val="000000"/>
          <w:sz w:val="20"/>
          <w:szCs w:val="20"/>
        </w:rPr>
        <w:t>Segundo</w:t>
      </w:r>
      <w:proofErr w:type="spellEnd"/>
      <w:r>
        <w:rPr>
          <w:rFonts w:ascii="Avenir LT Std 35 Light" w:hAnsi="Avenir LT Std 35 Light" w:cs="Arial"/>
          <w:b/>
          <w:bCs/>
          <w:color w:val="000000"/>
          <w:sz w:val="20"/>
          <w:szCs w:val="20"/>
        </w:rPr>
        <w:t>.</w:t>
      </w:r>
      <w:r>
        <w:rPr>
          <w:rFonts w:ascii="Avenir LT Std 35 Light" w:hAnsi="Avenir LT Std 35 Light" w:cs="Arial"/>
          <w:color w:val="000000"/>
          <w:sz w:val="20"/>
          <w:szCs w:val="20"/>
        </w:rPr>
        <w:t xml:space="preserve"> Instar a la Generalitat de Catalunya a que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desarrolle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reglamentariamente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las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leyes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14/2010 y 11/2014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aprobadas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en el Parlament de Catalunya, y que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destine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en el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siguiente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lastRenderedPageBreak/>
        <w:t>ejercicio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presupuestario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una partida con recursos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suficientes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para que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puedan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desarrollarse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manera efectiva.</w:t>
      </w:r>
    </w:p>
    <w:p w:rsidR="005F3796" w:rsidRDefault="005F3796" w:rsidP="005F3796">
      <w:pPr>
        <w:spacing w:line="360" w:lineRule="auto"/>
        <w:jc w:val="both"/>
        <w:rPr>
          <w:rFonts w:ascii="Avenir LT Std 35 Light" w:hAnsi="Avenir LT Std 35 Light" w:cs="Mangal"/>
          <w:sz w:val="20"/>
          <w:szCs w:val="20"/>
        </w:rPr>
      </w:pPr>
      <w:proofErr w:type="spellStart"/>
      <w:r>
        <w:rPr>
          <w:rFonts w:ascii="Avenir LT Std 35 Light" w:hAnsi="Avenir LT Std 35 Light" w:cs="Arial"/>
          <w:b/>
          <w:bCs/>
          <w:color w:val="000000"/>
          <w:sz w:val="20"/>
          <w:szCs w:val="20"/>
        </w:rPr>
        <w:t>Tercero</w:t>
      </w:r>
      <w:proofErr w:type="spellEnd"/>
      <w:r>
        <w:rPr>
          <w:rFonts w:ascii="Avenir LT Std 35 Light" w:hAnsi="Avenir LT Std 35 Light" w:cs="Arial"/>
          <w:b/>
          <w:bCs/>
          <w:color w:val="000000"/>
          <w:sz w:val="20"/>
          <w:szCs w:val="20"/>
        </w:rPr>
        <w:t>.</w:t>
      </w:r>
      <w:r>
        <w:rPr>
          <w:rFonts w:ascii="Avenir LT Std 35 Light" w:hAnsi="Avenir LT Std 35 Light" w:cs="Arial"/>
          <w:color w:val="000000"/>
          <w:sz w:val="20"/>
          <w:szCs w:val="20"/>
        </w:rPr>
        <w:t xml:space="preserve"> Que en el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próximo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Consell Escolar Municipal se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presente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propuesta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protocolo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ofrecida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para que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sea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trabajada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enmendada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enriquecida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para que lo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tenga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cuenta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la Comissió de Serveis a la Persona y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pueda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ser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implantado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en el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municipio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de Mont-roig del Camp, para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posteriormente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 w:cs="Arial"/>
          <w:color w:val="000000"/>
          <w:sz w:val="20"/>
          <w:szCs w:val="20"/>
        </w:rPr>
        <w:t>elevarlo</w:t>
      </w:r>
      <w:proofErr w:type="spellEnd"/>
      <w:r>
        <w:rPr>
          <w:rFonts w:ascii="Avenir LT Std 35 Light" w:hAnsi="Avenir LT Std 35 Light" w:cs="Arial"/>
          <w:color w:val="000000"/>
          <w:sz w:val="20"/>
          <w:szCs w:val="20"/>
        </w:rPr>
        <w:t xml:space="preserve"> al Departament d’Ensenyament de la Generalitat de Catalunya.</w:t>
      </w:r>
    </w:p>
    <w:bookmarkEnd w:id="1"/>
    <w:p w:rsidR="005F3796" w:rsidRDefault="005F3796" w:rsidP="005F3796">
      <w:pPr>
        <w:pStyle w:val="Prrafodelista1"/>
        <w:jc w:val="both"/>
        <w:rPr>
          <w:rFonts w:ascii="Avenir LT Std 35 Light" w:hAnsi="Avenir LT Std 35 Light"/>
          <w:sz w:val="20"/>
          <w:szCs w:val="20"/>
        </w:rPr>
      </w:pPr>
    </w:p>
    <w:p w:rsidR="005F3796" w:rsidRDefault="005F3796" w:rsidP="005F3796">
      <w:pPr>
        <w:pStyle w:val="Prrafodelista1"/>
        <w:ind w:left="0"/>
        <w:jc w:val="both"/>
        <w:rPr>
          <w:rFonts w:ascii="Avenir LT Std 35 Light" w:hAnsi="Avenir LT Std 35 Light"/>
          <w:sz w:val="20"/>
          <w:szCs w:val="20"/>
        </w:rPr>
      </w:pPr>
    </w:p>
    <w:p w:rsidR="005F3796" w:rsidRDefault="005F3796" w:rsidP="005F3796">
      <w:pPr>
        <w:pStyle w:val="Prrafodelista1"/>
        <w:ind w:left="0"/>
        <w:jc w:val="both"/>
        <w:rPr>
          <w:rFonts w:ascii="Avenir LT Std 35 Light" w:hAnsi="Avenir LT Std 35 Light"/>
          <w:sz w:val="20"/>
          <w:szCs w:val="20"/>
        </w:rPr>
      </w:pPr>
    </w:p>
    <w:p w:rsidR="005F3796" w:rsidRDefault="005F3796" w:rsidP="005F3796">
      <w:pPr>
        <w:rPr>
          <w:lang w:val="es-ES"/>
        </w:rPr>
      </w:pPr>
    </w:p>
    <w:p w:rsidR="00D145DE" w:rsidRPr="005F3796" w:rsidRDefault="00D145DE">
      <w:pPr>
        <w:rPr>
          <w:lang w:val="es-ES"/>
        </w:rPr>
      </w:pPr>
    </w:p>
    <w:sectPr w:rsidR="00D145DE" w:rsidRPr="005F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6"/>
    <w:rsid w:val="005F3796"/>
    <w:rsid w:val="00D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96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F3796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character" w:styleId="Textoennegrita">
    <w:name w:val="Strong"/>
    <w:basedOn w:val="Fuentedeprrafopredeter"/>
    <w:qFormat/>
    <w:rsid w:val="005F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96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F3796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character" w:styleId="Textoennegrita">
    <w:name w:val="Strong"/>
    <w:basedOn w:val="Fuentedeprrafopredeter"/>
    <w:qFormat/>
    <w:rsid w:val="005F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AFA0A44F.dotm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 Morcillo Aparicio</dc:creator>
  <cp:lastModifiedBy>Puri Morcillo Aparicio</cp:lastModifiedBy>
  <cp:revision>1</cp:revision>
  <dcterms:created xsi:type="dcterms:W3CDTF">2016-02-11T10:15:00Z</dcterms:created>
  <dcterms:modified xsi:type="dcterms:W3CDTF">2016-02-11T10:17:00Z</dcterms:modified>
</cp:coreProperties>
</file>