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30" w:rsidRPr="00B71092" w:rsidRDefault="00B71092" w:rsidP="00B71092">
      <w:pPr>
        <w:tabs>
          <w:tab w:val="center" w:pos="300"/>
          <w:tab w:val="center" w:pos="5214"/>
        </w:tabs>
        <w:spacing w:after="194" w:line="259" w:lineRule="auto"/>
        <w:ind w:left="0" w:firstLine="0"/>
        <w:jc w:val="left"/>
        <w:rPr>
          <w:lang w:val="ca-ES"/>
        </w:rPr>
      </w:pPr>
      <w:r w:rsidRPr="00B71092">
        <w:rPr>
          <w:lang w:val="ca-ES"/>
        </w:rPr>
        <w:tab/>
      </w:r>
      <w:r w:rsidRPr="00B71092">
        <w:rPr>
          <w:lang w:val="ca-ES"/>
        </w:rPr>
        <w:t xml:space="preserve"> </w:t>
      </w:r>
      <w:r w:rsidRPr="00B71092">
        <w:rPr>
          <w:lang w:val="ca-ES"/>
        </w:rPr>
        <w:tab/>
      </w:r>
      <w:r w:rsidRPr="00B71092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7E1330" w:rsidRPr="00B71092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Òrgan col·legiat:</w:t>
            </w:r>
          </w:p>
        </w:tc>
      </w:tr>
      <w:tr w:rsidR="007E1330" w:rsidRPr="00B71092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JDGL/2023/7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JUNTA DE GOVERN LOCAL</w:t>
            </w:r>
          </w:p>
        </w:tc>
      </w:tr>
    </w:tbl>
    <w:p w:rsidR="007E1330" w:rsidRPr="00B71092" w:rsidRDefault="00B71092">
      <w:pPr>
        <w:spacing w:after="0" w:line="259" w:lineRule="auto"/>
        <w:ind w:left="0" w:right="3560" w:firstLine="0"/>
        <w:jc w:val="right"/>
        <w:rPr>
          <w:lang w:val="ca-ES"/>
        </w:rPr>
      </w:pPr>
      <w:r w:rsidRPr="00B71092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092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092">
        <w:rPr>
          <w:lang w:val="ca-ES"/>
        </w:rPr>
        <w:t xml:space="preserve"> </w:t>
      </w:r>
      <w:r w:rsidRPr="00B71092">
        <w:rPr>
          <w:b/>
          <w:lang w:val="ca-ES"/>
        </w:rPr>
        <w:t>DECRET 673/2023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7E1330" w:rsidRPr="00B71092">
        <w:trPr>
          <w:trHeight w:val="478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7E1330" w:rsidRPr="00B71092" w:rsidRDefault="007E1330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DADES DE LA CONVOCATÒRIA</w:t>
            </w:r>
          </w:p>
        </w:tc>
      </w:tr>
      <w:tr w:rsidR="007E1330" w:rsidRPr="00B71092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Ordinària</w:t>
            </w:r>
          </w:p>
        </w:tc>
      </w:tr>
      <w:tr w:rsidR="007E1330" w:rsidRPr="00B71092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1a convocatòria: 15 / de febrer / 2023 a les 9:45</w:t>
            </w:r>
          </w:p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2a convocatòria: 15 / de febrer / 2023 a les 10:45</w:t>
            </w:r>
          </w:p>
        </w:tc>
      </w:tr>
      <w:tr w:rsidR="007E1330" w:rsidRPr="00B71092">
        <w:trPr>
          <w:trHeight w:val="732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right="2898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Sala de Sessions de l'Ajuntament No admet participació a distància</w:t>
            </w:r>
          </w:p>
        </w:tc>
      </w:tr>
    </w:tbl>
    <w:p w:rsidR="007E1330" w:rsidRPr="00B71092" w:rsidRDefault="00B71092">
      <w:pPr>
        <w:spacing w:after="0" w:line="259" w:lineRule="auto"/>
        <w:ind w:left="0" w:firstLine="0"/>
        <w:jc w:val="left"/>
        <w:rPr>
          <w:lang w:val="ca-ES"/>
        </w:rPr>
      </w:pPr>
      <w:r w:rsidRPr="00B71092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8550"/>
      </w:tblGrid>
      <w:tr w:rsidR="007E1330" w:rsidRPr="00B71092">
        <w:trPr>
          <w:trHeight w:val="480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right="26" w:firstLine="0"/>
              <w:jc w:val="center"/>
              <w:rPr>
                <w:lang w:val="ca-ES"/>
              </w:rPr>
            </w:pPr>
            <w:r w:rsidRPr="00B71092">
              <w:rPr>
                <w:b/>
                <w:lang w:val="ca-ES"/>
              </w:rPr>
              <w:t>ASSUMPTES DE LA CONVOCATÒRIA</w:t>
            </w:r>
          </w:p>
        </w:tc>
      </w:tr>
      <w:tr w:rsidR="007E1330" w:rsidRPr="00B71092">
        <w:trPr>
          <w:trHeight w:val="628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A) Part resolutiva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 xml:space="preserve">Aprovació de l'acta de la sessió anterior de data 8 de febrer de 2023. 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27" w:lineRule="auto"/>
              <w:ind w:hanging="284"/>
              <w:jc w:val="left"/>
            </w:pPr>
            <w:proofErr w:type="spellStart"/>
            <w:r w:rsidRPr="00B71092">
              <w:t>Contractació</w:t>
            </w:r>
            <w:proofErr w:type="spellEnd"/>
            <w:r w:rsidRPr="00B71092">
              <w:t xml:space="preserve">. </w:t>
            </w:r>
            <w:proofErr w:type="spellStart"/>
            <w:r w:rsidRPr="00B71092">
              <w:t>Expedient</w:t>
            </w:r>
            <w:proofErr w:type="spellEnd"/>
            <w:r w:rsidRPr="00B71092">
              <w:t xml:space="preserve"> 16474/2022.Desestimar las alegaciones realizadas por a </w:t>
            </w:r>
            <w:proofErr w:type="spellStart"/>
            <w:r w:rsidRPr="00B71092">
              <w:t>Eiffage</w:t>
            </w:r>
            <w:proofErr w:type="spellEnd"/>
            <w:r w:rsidRPr="00B71092">
              <w:t xml:space="preserve"> </w:t>
            </w:r>
            <w:proofErr w:type="spellStart"/>
            <w:r w:rsidRPr="00B71092">
              <w:t>Energia</w:t>
            </w:r>
            <w:proofErr w:type="spellEnd"/>
            <w:r w:rsidRPr="00B71092">
              <w:t xml:space="preserve"> SLU contra el segundo acuerdo de la JGL, mediante el cual se acordó la liquidación provisional de penalidades por demora en la ejecución de la “contratación conj</w:t>
            </w:r>
            <w:r w:rsidRPr="00B71092">
              <w:t>unta de los trabajos de redacción del proyecto y ejecución de las obras para dotar de autoconsumo eléctrico mediante placas fotovoltaicas los edificios municipales (IDAE) y elevar la liquidación a definitiva</w:t>
            </w:r>
            <w:r>
              <w:t>.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33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Disciplina. Expedient 9346/2022. Expedient de r</w:t>
            </w:r>
            <w:r w:rsidRPr="00B71092">
              <w:rPr>
                <w:lang w:val="ca-ES"/>
              </w:rPr>
              <w:t xml:space="preserve">estauració de la legalitat urbanística incoat contra la persona responsable de les obres executades de </w:t>
            </w:r>
          </w:p>
          <w:p w:rsidR="007E1330" w:rsidRPr="00B71092" w:rsidRDefault="00B71092">
            <w:pPr>
              <w:spacing w:after="0" w:line="227" w:lineRule="auto"/>
              <w:ind w:left="708" w:firstLine="0"/>
              <w:rPr>
                <w:lang w:val="ca-ES"/>
              </w:rPr>
            </w:pPr>
            <w:r w:rsidRPr="00B71092">
              <w:rPr>
                <w:lang w:val="ca-ES"/>
              </w:rPr>
              <w:t xml:space="preserve">construcció d’una pèrgola i la instal·lació d’una piscina prefabricada a l’immoble situat a la plaça de la Província núm. 3B, Miami Platja. 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Disciplina.</w:t>
            </w:r>
            <w:r w:rsidRPr="00B71092">
              <w:rPr>
                <w:lang w:val="ca-ES"/>
              </w:rPr>
              <w:t xml:space="preserve"> Expedient 9347/2022. Expedient sancionador incoat contra la propietat de l’immoble situat a la Pl. de la Província núm. 3B de Miami Platja per les obres per la construcció d’una pèrgola i la instal·lació d’una piscina prefabricada adossades a veí. 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Discip</w:t>
            </w:r>
            <w:r w:rsidRPr="00B71092">
              <w:rPr>
                <w:lang w:val="ca-ES"/>
              </w:rPr>
              <w:t xml:space="preserve">lina Expedients 8940/2022 i 8941/2022. Acordar, si escau, la suspensió de la tramitació dels procediments de restauració de la legalitat urbanística alterada i sancionador per infracció urbanística fins que es resolgui la llicència d’enderroc de les obres </w:t>
            </w:r>
            <w:r w:rsidRPr="00B71092">
              <w:rPr>
                <w:lang w:val="ca-ES"/>
              </w:rPr>
              <w:t xml:space="preserve">realitzades a la Plaça de la Província núm. 3A de Miami Platja. </w:t>
            </w:r>
          </w:p>
          <w:p w:rsidR="00B71092" w:rsidRDefault="00B71092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Joventut. Expedient 15962/2022. Imposició i Ordenació de Tributs</w:t>
            </w:r>
            <w:r>
              <w:rPr>
                <w:lang w:val="ca-ES"/>
              </w:rPr>
              <w:t>.</w:t>
            </w:r>
            <w:r w:rsidRPr="00B71092">
              <w:rPr>
                <w:lang w:val="ca-ES"/>
              </w:rPr>
              <w:t xml:space="preserve"> </w:t>
            </w:r>
          </w:p>
          <w:p w:rsidR="007E1330" w:rsidRPr="00B71092" w:rsidRDefault="00B71092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 xml:space="preserve">Afers sobrevinguts </w:t>
            </w:r>
          </w:p>
        </w:tc>
      </w:tr>
      <w:tr w:rsidR="007E1330" w:rsidRPr="00B71092">
        <w:trPr>
          <w:trHeight w:val="97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B) Activitat de control</w:t>
            </w:r>
          </w:p>
          <w:p w:rsidR="00B71092" w:rsidRPr="00B71092" w:rsidRDefault="00B71092" w:rsidP="00B71092">
            <w:pPr>
              <w:spacing w:after="0" w:line="259" w:lineRule="auto"/>
              <w:ind w:left="708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 xml:space="preserve">8. </w:t>
            </w:r>
            <w:r w:rsidRPr="00B71092">
              <w:rPr>
                <w:lang w:val="ca-ES"/>
              </w:rPr>
              <w:t>Serveis Jurídics</w:t>
            </w:r>
            <w:bookmarkStart w:id="0" w:name="_GoBack"/>
            <w:bookmarkEnd w:id="0"/>
            <w:r w:rsidRPr="00B71092">
              <w:rPr>
                <w:lang w:val="ca-ES"/>
              </w:rPr>
              <w:t xml:space="preserve">. Expedient 13846/2018. Donar compte, si s’escau, de la sentència 189/2023 envers al Recurs d’apel·lació núm. 198/2020 interposat </w:t>
            </w:r>
            <w:r w:rsidRPr="00B71092">
              <w:rPr>
                <w:lang w:val="ca-ES"/>
              </w:rPr>
              <w:t xml:space="preserve">per la Sra. M.F.M. </w:t>
            </w:r>
          </w:p>
          <w:p w:rsidR="007E1330" w:rsidRPr="00B71092" w:rsidRDefault="007E1330">
            <w:pPr>
              <w:spacing w:after="0" w:line="259" w:lineRule="auto"/>
              <w:ind w:left="708" w:hanging="284"/>
              <w:jc w:val="left"/>
              <w:rPr>
                <w:lang w:val="ca-ES"/>
              </w:rPr>
            </w:pPr>
          </w:p>
        </w:tc>
      </w:tr>
      <w:tr w:rsidR="007E1330" w:rsidRPr="00B71092">
        <w:trPr>
          <w:trHeight w:val="97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708" w:hanging="284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lastRenderedPageBreak/>
              <w:t>9</w:t>
            </w:r>
            <w:r w:rsidRPr="00B71092">
              <w:rPr>
                <w:lang w:val="ca-ES"/>
              </w:rPr>
              <w:t xml:space="preserve">. </w:t>
            </w:r>
            <w:r w:rsidRPr="00B71092">
              <w:rPr>
                <w:lang w:val="ca-ES"/>
              </w:rPr>
              <w:t xml:space="preserve">Serveis Jurídics. Expedient 11225/2021. Donar compte, si s’escau, de la sentència 18/2023 envers al PA 312/2021-A interposat per la Sra. E.N.R. </w:t>
            </w:r>
          </w:p>
        </w:tc>
      </w:tr>
      <w:tr w:rsidR="007E1330" w:rsidRPr="00B71092">
        <w:trPr>
          <w:trHeight w:val="73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b/>
                <w:lang w:val="ca-ES"/>
              </w:rPr>
              <w:t>C) Precs i preguntes</w:t>
            </w:r>
          </w:p>
          <w:p w:rsidR="007E1330" w:rsidRPr="00B71092" w:rsidRDefault="00B71092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B71092">
              <w:rPr>
                <w:lang w:val="ca-ES"/>
              </w:rPr>
              <w:t>---</w:t>
            </w:r>
          </w:p>
        </w:tc>
      </w:tr>
    </w:tbl>
    <w:p w:rsidR="007E1330" w:rsidRPr="00B71092" w:rsidRDefault="00B71092">
      <w:pPr>
        <w:spacing w:after="0" w:line="259" w:lineRule="auto"/>
        <w:ind w:left="7" w:firstLine="0"/>
        <w:jc w:val="center"/>
        <w:rPr>
          <w:lang w:val="ca-ES"/>
        </w:rPr>
      </w:pPr>
      <w:r w:rsidRPr="00B71092">
        <w:rPr>
          <w:lang w:val="ca-ES"/>
        </w:rPr>
        <w:t xml:space="preserve"> </w:t>
      </w:r>
    </w:p>
    <w:p w:rsidR="007E1330" w:rsidRPr="00B71092" w:rsidRDefault="007E1330" w:rsidP="00B71092">
      <w:pPr>
        <w:spacing w:after="82" w:line="259" w:lineRule="auto"/>
        <w:ind w:left="0" w:firstLine="0"/>
        <w:jc w:val="left"/>
        <w:rPr>
          <w:lang w:val="ca-ES"/>
        </w:rPr>
      </w:pPr>
    </w:p>
    <w:sectPr w:rsidR="007E1330" w:rsidRPr="00B71092">
      <w:pgSz w:w="11906" w:h="16838"/>
      <w:pgMar w:top="1811" w:right="1420" w:bottom="155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0D4F"/>
    <w:multiLevelType w:val="hybridMultilevel"/>
    <w:tmpl w:val="A90000D0"/>
    <w:lvl w:ilvl="0" w:tplc="6292064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C176C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CDE72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28842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C871A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63168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4DD04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4342E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C8F4A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30"/>
    <w:rsid w:val="007E1330"/>
    <w:rsid w:val="00B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BEF"/>
  <w15:docId w15:val="{F0658320-F716-45D7-B7B6-24D79B5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2023-03-06T10:11:00Z</dcterms:created>
  <dcterms:modified xsi:type="dcterms:W3CDTF">2023-03-06T10:11:00Z</dcterms:modified>
</cp:coreProperties>
</file>